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140"/>
        <w:gridCol w:w="4680"/>
      </w:tblGrid>
      <w:tr w:rsidR="00727E93" w:rsidTr="0040212F">
        <w:trPr>
          <w:jc w:val="center"/>
        </w:trPr>
        <w:tc>
          <w:tcPr>
            <w:tcW w:w="8820" w:type="dxa"/>
            <w:gridSpan w:val="2"/>
          </w:tcPr>
          <w:p w:rsidR="00727E93" w:rsidRPr="00DD05A8" w:rsidRDefault="0094424E" w:rsidP="00727E93">
            <w:pPr>
              <w:suppressLineNumbers/>
              <w:jc w:val="right"/>
              <w:rPr>
                <w:rFonts w:ascii="Arial" w:hAnsi="Arial"/>
                <w:b/>
                <w:bCs/>
                <w:sz w:val="26"/>
                <w:szCs w:val="26"/>
                <w:rtl/>
              </w:rPr>
            </w:pPr>
            <w:bookmarkStart w:id="0" w:name="_GoBack"/>
            <w:bookmarkEnd w:id="0"/>
            <w:r>
              <w:rPr>
                <w:rtl/>
              </w:rPr>
              <w:t xml:space="preserve"> </w:t>
            </w:r>
            <w:r w:rsidR="00727E93">
              <w:rPr>
                <w:rFonts w:ascii="Arial" w:hAnsi="Arial" w:hint="cs"/>
                <w:b/>
                <w:bCs/>
                <w:sz w:val="26"/>
                <w:szCs w:val="26"/>
                <w:rtl/>
              </w:rPr>
              <w:t>16.8.2023</w:t>
            </w:r>
          </w:p>
        </w:tc>
      </w:tr>
      <w:tr w:rsidR="00727E93" w:rsidTr="0040212F">
        <w:trPr>
          <w:jc w:val="center"/>
        </w:trPr>
        <w:tc>
          <w:tcPr>
            <w:tcW w:w="8820" w:type="dxa"/>
            <w:gridSpan w:val="2"/>
          </w:tcPr>
          <w:p w:rsidR="00727E93" w:rsidRPr="00DD05A8" w:rsidRDefault="00727E93" w:rsidP="00727E93">
            <w:pPr>
              <w:suppressLineNumbers/>
              <w:jc w:val="both"/>
              <w:rPr>
                <w:rFonts w:ascii="Arial" w:hAnsi="Arial"/>
                <w:b/>
                <w:bCs/>
                <w:sz w:val="26"/>
                <w:szCs w:val="26"/>
                <w:rtl/>
              </w:rPr>
            </w:pPr>
            <w:r>
              <w:rPr>
                <w:rFonts w:ascii="Arial" w:hAnsi="Arial" w:hint="cs"/>
                <w:b/>
                <w:bCs/>
                <w:sz w:val="26"/>
                <w:szCs w:val="26"/>
                <w:rtl/>
              </w:rPr>
              <w:t>ל</w:t>
            </w:r>
            <w:r w:rsidRPr="00DD05A8">
              <w:rPr>
                <w:rFonts w:ascii="Arial" w:hAnsi="Arial"/>
                <w:b/>
                <w:bCs/>
                <w:sz w:val="26"/>
                <w:szCs w:val="26"/>
                <w:rtl/>
              </w:rPr>
              <w:t xml:space="preserve">פני </w:t>
            </w:r>
            <w:r w:rsidRPr="00DD05A8">
              <w:rPr>
                <w:rFonts w:ascii="Arial" w:hAnsi="Arial" w:hint="cs"/>
                <w:b/>
                <w:bCs/>
                <w:sz w:val="26"/>
                <w:szCs w:val="26"/>
                <w:rtl/>
              </w:rPr>
              <w:t>כבוד ה</w:t>
            </w:r>
            <w:r>
              <w:rPr>
                <w:rFonts w:ascii="Arial" w:hAnsi="Arial"/>
                <w:b/>
                <w:bCs/>
                <w:sz w:val="26"/>
                <w:szCs w:val="26"/>
                <w:rtl/>
              </w:rPr>
              <w:t>שופטת</w:t>
            </w:r>
            <w:r w:rsidRPr="00DD05A8">
              <w:rPr>
                <w:rFonts w:ascii="Arial" w:hAnsi="Arial" w:hint="cs"/>
                <w:b/>
                <w:bCs/>
                <w:sz w:val="26"/>
                <w:szCs w:val="26"/>
                <w:rtl/>
              </w:rPr>
              <w:t xml:space="preserve"> </w:t>
            </w:r>
            <w:r>
              <w:rPr>
                <w:rFonts w:ascii="Arial" w:hAnsi="Arial"/>
                <w:b/>
                <w:bCs/>
                <w:sz w:val="26"/>
                <w:szCs w:val="26"/>
                <w:rtl/>
              </w:rPr>
              <w:t>תמר בר-אשר</w:t>
            </w:r>
          </w:p>
          <w:p w:rsidR="00727E93" w:rsidRDefault="00727E93" w:rsidP="00D44968">
            <w:pPr>
              <w:suppressLineNumbers/>
              <w:rPr>
                <w:rFonts w:ascii="Arial" w:hAnsi="Arial" w:cs="FrankRuehl"/>
                <w:sz w:val="26"/>
                <w:szCs w:val="26"/>
                <w:highlight w:val="yellow"/>
                <w:rtl/>
              </w:rPr>
            </w:pPr>
          </w:p>
          <w:p w:rsidR="00727E93" w:rsidRPr="00DD05A8" w:rsidRDefault="00727E93" w:rsidP="00D44968">
            <w:pPr>
              <w:suppressLineNumbers/>
              <w:rPr>
                <w:rFonts w:ascii="Arial" w:hAnsi="Arial" w:cs="FrankRuehl"/>
                <w:sz w:val="26"/>
                <w:szCs w:val="26"/>
                <w:highlight w:val="yellow"/>
              </w:rPr>
            </w:pPr>
          </w:p>
        </w:tc>
      </w:tr>
      <w:tr w:rsidR="0094424E" w:rsidTr="00163B02">
        <w:trPr>
          <w:jc w:val="center"/>
        </w:trPr>
        <w:tc>
          <w:tcPr>
            <w:tcW w:w="4140" w:type="dxa"/>
          </w:tcPr>
          <w:p w:rsidR="00C15F23" w:rsidRDefault="00727E93" w:rsidP="00727E93">
            <w:pPr>
              <w:suppressLineNumbers/>
              <w:rPr>
                <w:rFonts w:ascii="Arial" w:hAnsi="Arial"/>
                <w:b/>
                <w:bCs/>
                <w:noProof w:val="0"/>
                <w:sz w:val="26"/>
                <w:szCs w:val="26"/>
                <w:rtl/>
              </w:rPr>
            </w:pPr>
            <w:r>
              <w:rPr>
                <w:rFonts w:ascii="Arial" w:hAnsi="Arial" w:hint="cs"/>
                <w:b/>
                <w:bCs/>
                <w:noProof w:val="0"/>
                <w:sz w:val="26"/>
                <w:szCs w:val="26"/>
                <w:rtl/>
              </w:rPr>
              <w:t>ה</w:t>
            </w:r>
            <w:r w:rsidR="0053181C">
              <w:rPr>
                <w:rFonts w:ascii="Arial" w:hAnsi="Arial"/>
                <w:b/>
                <w:bCs/>
                <w:noProof w:val="0"/>
                <w:sz w:val="26"/>
                <w:szCs w:val="26"/>
                <w:rtl/>
              </w:rPr>
              <w:t>מערער</w:t>
            </w:r>
          </w:p>
        </w:tc>
        <w:tc>
          <w:tcPr>
            <w:tcW w:w="4680" w:type="dxa"/>
          </w:tcPr>
          <w:p w:rsidR="0094424E" w:rsidRDefault="00163B02" w:rsidP="00727E93">
            <w:pPr>
              <w:suppressLineNumbers/>
              <w:rPr>
                <w:b/>
                <w:bCs/>
                <w:noProof w:val="0"/>
                <w:sz w:val="26"/>
                <w:szCs w:val="26"/>
              </w:rPr>
            </w:pPr>
            <w:r>
              <w:rPr>
                <w:rFonts w:ascii="Arial" w:hAnsi="Arial" w:hint="cs"/>
                <w:b/>
                <w:bCs/>
                <w:noProof w:val="0"/>
                <w:sz w:val="26"/>
                <w:szCs w:val="26"/>
                <w:rtl/>
              </w:rPr>
              <w:t>י' י'</w:t>
            </w:r>
          </w:p>
        </w:tc>
      </w:tr>
      <w:tr w:rsidR="0094424E">
        <w:trPr>
          <w:jc w:val="center"/>
        </w:trPr>
        <w:tc>
          <w:tcPr>
            <w:tcW w:w="8820" w:type="dxa"/>
            <w:gridSpan w:val="2"/>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163B02">
        <w:trPr>
          <w:jc w:val="center"/>
        </w:trPr>
        <w:tc>
          <w:tcPr>
            <w:tcW w:w="4140" w:type="dxa"/>
          </w:tcPr>
          <w:p w:rsidR="0094424E" w:rsidRDefault="00727E93" w:rsidP="00727E93">
            <w:pPr>
              <w:suppressLineNumbers/>
              <w:rPr>
                <w:rFonts w:ascii="Arial" w:hAnsi="Arial"/>
                <w:b/>
                <w:bCs/>
                <w:noProof w:val="0"/>
                <w:sz w:val="26"/>
                <w:szCs w:val="26"/>
              </w:rPr>
            </w:pPr>
            <w:r>
              <w:rPr>
                <w:rFonts w:ascii="Arial" w:hAnsi="Arial" w:hint="cs"/>
                <w:b/>
                <w:bCs/>
                <w:noProof w:val="0"/>
                <w:sz w:val="26"/>
                <w:szCs w:val="26"/>
                <w:rtl/>
              </w:rPr>
              <w:t>ה</w:t>
            </w:r>
            <w:r w:rsidR="00B859C5">
              <w:rPr>
                <w:rFonts w:ascii="Arial" w:hAnsi="Arial"/>
                <w:b/>
                <w:bCs/>
                <w:noProof w:val="0"/>
                <w:sz w:val="26"/>
                <w:szCs w:val="26"/>
                <w:rtl/>
              </w:rPr>
              <w:t>משיב</w:t>
            </w:r>
            <w:r>
              <w:rPr>
                <w:rFonts w:ascii="Arial" w:hAnsi="Arial" w:hint="cs"/>
                <w:b/>
                <w:bCs/>
                <w:noProof w:val="0"/>
                <w:sz w:val="26"/>
                <w:szCs w:val="26"/>
                <w:rtl/>
              </w:rPr>
              <w:t>ה</w:t>
            </w:r>
          </w:p>
        </w:tc>
        <w:tc>
          <w:tcPr>
            <w:tcW w:w="4680" w:type="dxa"/>
          </w:tcPr>
          <w:p w:rsidR="00CF6BB7" w:rsidRPr="009E461A" w:rsidRDefault="00B859C5" w:rsidP="00163B02">
            <w:pPr>
              <w:suppressLineNumbers/>
              <w:rPr>
                <w:rtl/>
              </w:rPr>
            </w:pPr>
            <w:r>
              <w:rPr>
                <w:rFonts w:ascii="Arial" w:hAnsi="Arial" w:hint="eastAsia"/>
                <w:b/>
                <w:bCs/>
                <w:noProof w:val="0"/>
                <w:sz w:val="26"/>
                <w:szCs w:val="26"/>
                <w:rtl/>
              </w:rPr>
              <w:t>ש</w:t>
            </w:r>
            <w:r w:rsidR="00727E93">
              <w:rPr>
                <w:rFonts w:ascii="Arial" w:hAnsi="Arial" w:hint="cs"/>
                <w:b/>
                <w:bCs/>
                <w:noProof w:val="0"/>
                <w:sz w:val="26"/>
                <w:szCs w:val="26"/>
                <w:rtl/>
              </w:rPr>
              <w:t>'</w:t>
            </w:r>
            <w:r>
              <w:rPr>
                <w:rFonts w:ascii="Arial" w:hAnsi="Arial" w:hint="eastAsia"/>
                <w:b/>
                <w:bCs/>
                <w:noProof w:val="0"/>
                <w:sz w:val="26"/>
                <w:szCs w:val="26"/>
                <w:rtl/>
              </w:rPr>
              <w:t xml:space="preserve"> ג</w:t>
            </w:r>
            <w:r w:rsidR="00163B02">
              <w:rPr>
                <w:rFonts w:ascii="Arial" w:hAnsi="Arial" w:hint="cs"/>
                <w:b/>
                <w:bCs/>
                <w:noProof w:val="0"/>
                <w:sz w:val="26"/>
                <w:szCs w:val="26"/>
                <w:rtl/>
              </w:rPr>
              <w:t>'</w:t>
            </w:r>
          </w:p>
        </w:tc>
      </w:tr>
    </w:tbl>
    <w:p w:rsidR="0094424E" w:rsidRDefault="0094424E" w:rsidP="00D44968">
      <w:pPr>
        <w:suppressLineNumbers/>
        <w:rPr>
          <w:rtl/>
        </w:rPr>
      </w:pPr>
    </w:p>
    <w:p w:rsidR="00727E93" w:rsidRDefault="00727E93" w:rsidP="00D44968">
      <w:pPr>
        <w:suppressLineNumbers/>
        <w:rPr>
          <w:rtl/>
        </w:rPr>
      </w:pPr>
    </w:p>
    <w:p w:rsidR="00727E93" w:rsidRDefault="00727E93" w:rsidP="00D44968">
      <w:pPr>
        <w:suppressLineNumbers/>
        <w:rPr>
          <w:rtl/>
        </w:rPr>
      </w:pPr>
      <w:r>
        <w:rPr>
          <w:rFonts w:hint="cs"/>
          <w:rtl/>
        </w:rPr>
        <w:t>המערער בעצמו</w:t>
      </w:r>
    </w:p>
    <w:p w:rsidR="00727E93" w:rsidRDefault="00727E93" w:rsidP="00D44968">
      <w:pPr>
        <w:suppressLineNumbers/>
        <w:rPr>
          <w:rtl/>
        </w:rPr>
      </w:pPr>
    </w:p>
    <w:p w:rsidR="00727E93" w:rsidRDefault="00727E93"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727E93" w:rsidRPr="00727E93" w:rsidRDefault="00727E93" w:rsidP="00727E93">
      <w:pPr>
        <w:spacing w:line="360" w:lineRule="auto"/>
        <w:jc w:val="both"/>
        <w:rPr>
          <w:rFonts w:ascii="Arial" w:hAnsi="Arial"/>
          <w:noProof w:val="0"/>
          <w:rtl/>
        </w:rPr>
      </w:pPr>
      <w:bookmarkStart w:id="1" w:name="NGCSBookmark"/>
      <w:bookmarkEnd w:id="1"/>
      <w:r w:rsidRPr="00727E93">
        <w:rPr>
          <w:rFonts w:ascii="Arial" w:hAnsi="Arial" w:hint="cs"/>
          <w:noProof w:val="0"/>
          <w:rtl/>
        </w:rPr>
        <w:t xml:space="preserve">הערעור הנדון הוגש על החלטת בית משפט השלום בירושלים (כבוד השופט מ' בנקי) בתיק ה"ט 64415-07-23 מיום 31.7.2023, שלפיה נדחתה בקשת המערער למתן צו לפי חוק מניעת הטרדה מאיימת, תשס"ב-2001 (להלן – </w:t>
      </w:r>
      <w:r w:rsidRPr="00727E93">
        <w:rPr>
          <w:rFonts w:ascii="Arial" w:hAnsi="Arial" w:hint="cs"/>
          <w:b/>
          <w:bCs/>
          <w:noProof w:val="0"/>
          <w:rtl/>
        </w:rPr>
        <w:t>חוק מניעת הטרדה מאיימת</w:t>
      </w:r>
      <w:r w:rsidRPr="00727E93">
        <w:rPr>
          <w:rFonts w:ascii="Arial" w:hAnsi="Arial" w:hint="cs"/>
          <w:noProof w:val="0"/>
          <w:rtl/>
        </w:rPr>
        <w:t xml:space="preserve"> או </w:t>
      </w:r>
      <w:r w:rsidRPr="00727E93">
        <w:rPr>
          <w:rFonts w:ascii="Arial" w:hAnsi="Arial" w:hint="cs"/>
          <w:b/>
          <w:bCs/>
          <w:noProof w:val="0"/>
          <w:rtl/>
        </w:rPr>
        <w:t>החוק</w:t>
      </w:r>
      <w:r w:rsidRPr="00727E93">
        <w:rPr>
          <w:rFonts w:ascii="Arial" w:hAnsi="Arial" w:hint="cs"/>
          <w:noProof w:val="0"/>
          <w:rtl/>
        </w:rPr>
        <w:t xml:space="preserve">). </w:t>
      </w:r>
    </w:p>
    <w:p w:rsidR="00727E93" w:rsidRPr="00727E93" w:rsidRDefault="00727E93" w:rsidP="00727E93">
      <w:pPr>
        <w:spacing w:line="360" w:lineRule="auto"/>
        <w:jc w:val="both"/>
        <w:rPr>
          <w:rFonts w:ascii="Arial" w:hAnsi="Arial"/>
          <w:noProof w:val="0"/>
          <w:rtl/>
        </w:rPr>
      </w:pPr>
    </w:p>
    <w:p w:rsidR="00727E93" w:rsidRPr="00727E93" w:rsidRDefault="00727E93" w:rsidP="00727E93">
      <w:pPr>
        <w:spacing w:line="360" w:lineRule="auto"/>
        <w:jc w:val="both"/>
        <w:rPr>
          <w:rFonts w:ascii="Arial" w:hAnsi="Arial"/>
          <w:noProof w:val="0"/>
          <w:rtl/>
        </w:rPr>
      </w:pPr>
      <w:r w:rsidRPr="00727E93">
        <w:rPr>
          <w:rFonts w:ascii="Arial" w:hAnsi="Arial" w:hint="cs"/>
          <w:noProof w:val="0"/>
          <w:rtl/>
        </w:rPr>
        <w:t xml:space="preserve">עיינתי בכתב הערעור, בהחלטת בית המשפט קמא ובכל מסמכי התיק ההליך שנדון לפניו, לרבות בשני הפרוטוקולים של שני הדיונים שהתקיימו לפניו (ביום 27.7.2023 וביום 31.7.2023). לאחר עיון זה, משנמצא כי הערעור נעדר כל סיכוי להתקבל ובהתאם לסמכותי מכוח תקנה 138(א)(1) בתקנות סדר הדין האזרחי, תשע"ט-2018 (להלן – </w:t>
      </w:r>
      <w:r w:rsidRPr="00727E93">
        <w:rPr>
          <w:rFonts w:ascii="Arial" w:hAnsi="Arial" w:hint="cs"/>
          <w:b/>
          <w:bCs/>
          <w:noProof w:val="0"/>
          <w:rtl/>
        </w:rPr>
        <w:t>התקנות</w:t>
      </w:r>
      <w:r w:rsidRPr="00727E93">
        <w:rPr>
          <w:rFonts w:ascii="Arial" w:hAnsi="Arial" w:hint="cs"/>
          <w:noProof w:val="0"/>
          <w:rtl/>
        </w:rPr>
        <w:t>), הגעתי לכלל מסקנה כי יש לדחות את הערעור ללא צורך בקבלת תשובת המשיבה.</w:t>
      </w:r>
      <w:r w:rsidRPr="00727E93">
        <w:rPr>
          <w:rFonts w:ascii="Arial" w:hAnsi="Arial" w:hint="cs"/>
          <w:noProof w:val="0"/>
        </w:rPr>
        <w:t xml:space="preserve"> </w:t>
      </w:r>
    </w:p>
    <w:p w:rsidR="00727E93" w:rsidRPr="00727E93" w:rsidRDefault="00727E93" w:rsidP="00727E93">
      <w:pPr>
        <w:spacing w:line="360" w:lineRule="auto"/>
        <w:jc w:val="both"/>
        <w:rPr>
          <w:rFonts w:ascii="Arial" w:hAnsi="Arial"/>
          <w:noProof w:val="0"/>
          <w:rtl/>
        </w:rPr>
      </w:pPr>
    </w:p>
    <w:p w:rsidR="00727E93" w:rsidRPr="00727E93" w:rsidRDefault="00727E93" w:rsidP="00727E93">
      <w:pPr>
        <w:spacing w:line="360" w:lineRule="auto"/>
        <w:jc w:val="both"/>
        <w:rPr>
          <w:rFonts w:ascii="Arial" w:hAnsi="Arial"/>
          <w:noProof w:val="0"/>
          <w:rtl/>
        </w:rPr>
      </w:pPr>
      <w:r w:rsidRPr="00727E93">
        <w:rPr>
          <w:rFonts w:ascii="Arial" w:hAnsi="Arial" w:hint="cs"/>
          <w:noProof w:val="0"/>
          <w:rtl/>
        </w:rPr>
        <w:t>2.</w:t>
      </w:r>
      <w:r w:rsidRPr="00727E93">
        <w:rPr>
          <w:rFonts w:ascii="Arial" w:hAnsi="Arial" w:hint="cs"/>
          <w:noProof w:val="0"/>
          <w:rtl/>
        </w:rPr>
        <w:tab/>
        <w:t>המערער לא טרח להציג תמונה ברורה של העובדות ואף טענותיו במסגרת כתב הערעור נוסחו באופן לא ברור וקשה, עד בלתי אפשרי, להבנה. בעיקר נראה כי המערער בחר לייחד את כתב הערעור לטענות מופרכות בעניין אופן התנהלות הדיונים בבית המשפט קמא – העומדים בסתירה ברורה למשתקף מהפרוטוקולים – וכל זאת תוך השתלחות שלוחת רסן בבית המשפט. בנסיבות אלו, כפי שנקבע בעבר לא פעם, די באופן סגנונו הלא ראוי של המערער ובהשתלחותו בבית המשפט קמא כדי להצדיק את מחיקת הערעור (בש"א 6076/20 </w:t>
      </w:r>
      <w:r w:rsidRPr="00727E93">
        <w:rPr>
          <w:rFonts w:ascii="Arial" w:hAnsi="Arial" w:hint="cs"/>
          <w:b/>
          <w:bCs/>
          <w:noProof w:val="0"/>
          <w:rtl/>
        </w:rPr>
        <w:t>דבורצקי נ' זפט</w:t>
      </w:r>
      <w:r w:rsidRPr="00727E93">
        <w:rPr>
          <w:rFonts w:ascii="Arial" w:hAnsi="Arial" w:hint="cs"/>
          <w:noProof w:val="0"/>
          <w:rtl/>
        </w:rPr>
        <w:t> (14.9.2020)‏‏, פסקה 6, כבוד השופט ד' מינץ; בג"ץ 4740/20 </w:t>
      </w:r>
      <w:r w:rsidRPr="00727E93">
        <w:rPr>
          <w:rFonts w:ascii="Arial" w:hAnsi="Arial" w:hint="cs"/>
          <w:b/>
          <w:bCs/>
          <w:noProof w:val="0"/>
          <w:rtl/>
        </w:rPr>
        <w:t xml:space="preserve">פלונית נ' הלשכה לסיוע משפטי </w:t>
      </w:r>
      <w:r w:rsidRPr="00727E93">
        <w:rPr>
          <w:rFonts w:ascii="Arial" w:hAnsi="Arial" w:hint="cs"/>
          <w:noProof w:val="0"/>
          <w:rtl/>
        </w:rPr>
        <w:t>(6.9.2020); בג"ץ 2880/10 </w:t>
      </w:r>
      <w:r w:rsidRPr="00727E93">
        <w:rPr>
          <w:rFonts w:ascii="Arial" w:hAnsi="Arial" w:hint="cs"/>
          <w:b/>
          <w:bCs/>
          <w:noProof w:val="0"/>
          <w:rtl/>
        </w:rPr>
        <w:t>בציר נ' משרד המשפטים</w:t>
      </w:r>
      <w:r w:rsidRPr="00727E93">
        <w:rPr>
          <w:rFonts w:ascii="Arial" w:hAnsi="Arial" w:hint="cs"/>
          <w:noProof w:val="0"/>
          <w:rtl/>
        </w:rPr>
        <w:t xml:space="preserve"> (18.4.2010)‏‏, ע' פוגלמן). כך על אחת כמה וכמה לנוכח הוראת תקנה 32 בתקנות סדר הדין האזרחי, התשע"ט-2018, המחייבת כי </w:t>
      </w:r>
      <w:r w:rsidRPr="00727E93">
        <w:rPr>
          <w:rFonts w:ascii="Arial" w:hAnsi="Arial" w:hint="cs"/>
          <w:b/>
          <w:bCs/>
          <w:noProof w:val="0"/>
          <w:rtl/>
        </w:rPr>
        <w:t>"כתב טענות ינוסח באופן שאינו מבזה, מביש או משתלח"</w:t>
      </w:r>
      <w:r w:rsidRPr="00727E93">
        <w:rPr>
          <w:rFonts w:ascii="Arial" w:hAnsi="Arial" w:hint="cs"/>
          <w:noProof w:val="0"/>
          <w:rtl/>
        </w:rPr>
        <w:t xml:space="preserve">, כך שדי בהפרתה כדי להצדיק את מחיקת כתב הערעור (ע"א 7041/21 </w:t>
      </w:r>
      <w:r w:rsidRPr="00727E93">
        <w:rPr>
          <w:rFonts w:ascii="Arial" w:hAnsi="Arial" w:hint="cs"/>
          <w:b/>
          <w:bCs/>
          <w:noProof w:val="0"/>
          <w:rtl/>
        </w:rPr>
        <w:t>מוסה נ' רשות הפיתוח</w:t>
      </w:r>
      <w:r w:rsidRPr="00727E93">
        <w:rPr>
          <w:rFonts w:ascii="Arial" w:hAnsi="Arial" w:hint="cs"/>
          <w:noProof w:val="0"/>
          <w:rtl/>
        </w:rPr>
        <w:t> (13.3.2022)‏‏, פסקה 11, כבוד השופט י' עמית).</w:t>
      </w:r>
    </w:p>
    <w:p w:rsidR="00727E93" w:rsidRPr="00727E93" w:rsidRDefault="00727E93" w:rsidP="00727E93">
      <w:pPr>
        <w:spacing w:line="360" w:lineRule="auto"/>
        <w:jc w:val="both"/>
        <w:rPr>
          <w:rFonts w:ascii="Arial" w:hAnsi="Arial"/>
          <w:noProof w:val="0"/>
          <w:rtl/>
        </w:rPr>
      </w:pPr>
    </w:p>
    <w:p w:rsidR="00727E93" w:rsidRPr="00727E93" w:rsidRDefault="00727E93" w:rsidP="00727E93">
      <w:pPr>
        <w:spacing w:line="360" w:lineRule="auto"/>
        <w:jc w:val="both"/>
        <w:rPr>
          <w:rFonts w:ascii="Arial" w:hAnsi="Arial"/>
          <w:noProof w:val="0"/>
          <w:rtl/>
        </w:rPr>
      </w:pPr>
      <w:r w:rsidRPr="00727E93">
        <w:rPr>
          <w:rFonts w:ascii="Arial" w:hAnsi="Arial" w:hint="cs"/>
          <w:noProof w:val="0"/>
          <w:rtl/>
        </w:rPr>
        <w:t>3.</w:t>
      </w:r>
      <w:r w:rsidRPr="00727E93">
        <w:rPr>
          <w:rFonts w:ascii="Arial" w:hAnsi="Arial" w:hint="cs"/>
          <w:noProof w:val="0"/>
          <w:rtl/>
        </w:rPr>
        <w:tab/>
        <w:t xml:space="preserve">מכל מקום, מעיון בתיק בית המשפט קמא, בפרוטוקולים של הדיונים ובהחלטותיו עולה כי העובדות העומדות ברקע הבקשה שהגיש המערער, שבה עתר למתן צו מניעת הטרדה מאיימת, עוסקות בפועל, בדרישה ראויה שהופנתה כלפיו לפנות דירה ששכר, לאחר שתקופת השכירות </w:t>
      </w:r>
      <w:r w:rsidRPr="00727E93">
        <w:rPr>
          <w:rFonts w:ascii="Arial" w:hAnsi="Arial" w:hint="cs"/>
          <w:noProof w:val="0"/>
          <w:rtl/>
        </w:rPr>
        <w:lastRenderedPageBreak/>
        <w:t xml:space="preserve">הסתיימה עוד ביום 15.3.2023. הבניין שבו מצויה הדירה צפוי להיהרס וכי עבודות ההריסה והבניה תוכננו להתחיל ביום 15.8.2023. משהתקרב מועד הפינוי והמערער לא פינה את הדירה, פנו אליו מטעם החברה המשכירה והאיצו בו לפנות את הדירה. בתגובה לכך הגיש המערער ביום 27.7.2023 את בקשתו לפי חוק מניעת הטרדה מאיימת. </w:t>
      </w:r>
    </w:p>
    <w:p w:rsidR="00727E93" w:rsidRPr="00727E93" w:rsidRDefault="00727E93" w:rsidP="00727E93">
      <w:pPr>
        <w:spacing w:line="360" w:lineRule="auto"/>
        <w:jc w:val="both"/>
        <w:rPr>
          <w:rFonts w:ascii="Arial" w:hAnsi="Arial"/>
          <w:noProof w:val="0"/>
          <w:rtl/>
        </w:rPr>
      </w:pPr>
    </w:p>
    <w:p w:rsidR="00727E93" w:rsidRPr="00727E93" w:rsidRDefault="00727E93" w:rsidP="00727E93">
      <w:pPr>
        <w:spacing w:line="360" w:lineRule="auto"/>
        <w:jc w:val="both"/>
        <w:rPr>
          <w:rFonts w:ascii="Arial" w:hAnsi="Arial"/>
          <w:noProof w:val="0"/>
          <w:rtl/>
        </w:rPr>
      </w:pPr>
      <w:r w:rsidRPr="00727E93">
        <w:rPr>
          <w:rFonts w:ascii="Arial" w:hAnsi="Arial" w:hint="cs"/>
          <w:noProof w:val="0"/>
          <w:rtl/>
        </w:rPr>
        <w:t>4.</w:t>
      </w:r>
      <w:r w:rsidRPr="00727E93">
        <w:rPr>
          <w:rFonts w:ascii="Arial" w:hAnsi="Arial" w:hint="cs"/>
          <w:noProof w:val="0"/>
          <w:rtl/>
        </w:rPr>
        <w:tab/>
        <w:t xml:space="preserve">במועד הגשת הבקשה (27.7.2023) התקיים דיון במעמד צד אחד, אשר במהלכו שמע בית המשפט קמא את המערער בסבלנות יוצאת דופן. בית המשפט שב והסביר למערער כי העובדה שמבקשים לפנות אותו מהדירה השכורה לאחר תום תקופת השכירות, אינה מקימה עילה לפי חוק מניעת הטרדה מאיימת. למרות זאת, המערער אטם אוזניו להסברי בית המשפט, נותר בשלו ועמד על קיום דיון במעמד שני הצדדים. כך אמנם היה, וכעבור ימים בודדים, ביום 31.7.2023 התקיים דיון במעמד שני הצדדים ובא-כוחה של המשיבה. בדיון זה, שוב הובהרו העובדות העומדות ברקע הבקשה, שעיקריהן פורטו לעיל, שוב הועמד המערער על טעותו בהגשת הבקשה לפי חוק מניעת הטרדה מאיימת ושוב הוצע לו לסגת מהבקשה, אך הוא נותר בדעתו. </w:t>
      </w:r>
    </w:p>
    <w:p w:rsidR="00727E93" w:rsidRPr="00727E93" w:rsidRDefault="00727E93" w:rsidP="00727E93">
      <w:pPr>
        <w:spacing w:line="360" w:lineRule="auto"/>
        <w:jc w:val="both"/>
        <w:rPr>
          <w:rFonts w:ascii="Arial" w:hAnsi="Arial"/>
          <w:noProof w:val="0"/>
          <w:rtl/>
        </w:rPr>
      </w:pPr>
    </w:p>
    <w:p w:rsidR="00727E93" w:rsidRPr="00727E93" w:rsidRDefault="00727E93" w:rsidP="00727E93">
      <w:pPr>
        <w:spacing w:line="360" w:lineRule="auto"/>
        <w:jc w:val="both"/>
        <w:rPr>
          <w:rFonts w:ascii="Arial" w:hAnsi="Arial"/>
          <w:noProof w:val="0"/>
          <w:rtl/>
        </w:rPr>
      </w:pPr>
      <w:r w:rsidRPr="00727E93">
        <w:rPr>
          <w:rFonts w:ascii="Arial" w:hAnsi="Arial" w:hint="cs"/>
          <w:noProof w:val="0"/>
          <w:rtl/>
        </w:rPr>
        <w:t>5.</w:t>
      </w:r>
      <w:r w:rsidRPr="00727E93">
        <w:rPr>
          <w:rFonts w:ascii="Arial" w:hAnsi="Arial" w:hint="cs"/>
          <w:noProof w:val="0"/>
          <w:rtl/>
        </w:rPr>
        <w:tab/>
        <w:t>בהחלטתו הדוחה את בקשת המערער למתן צו לפי חוק מניעת הטרדה מאיימת הדגיש בית המשפט קמא את העובדה שכבר בדיון הראשון, שהתקיים רק במעמד המבקש, הוסבר לו כי בקשתו אינה עוסקת ב"הטרדה מאיימת", כמשמעותה בחוק, מאחר שכל מטרתה אינה אלא דחיית מועד פינויו מהדירה ששכר. חרף זאת, המבקש עמד על קיום דיון בבקשה ולפיכך וכאמור, נקבע דיון בבקשה במעמד שני הצדדים. זאת למרות העובדה שכבר בתום הדיון הראשון יכול היה בית המשפט לדחות את הבקשה בהיעדר עילה.</w:t>
      </w:r>
    </w:p>
    <w:p w:rsidR="00727E93" w:rsidRPr="00727E93" w:rsidRDefault="00727E93" w:rsidP="00727E93">
      <w:pPr>
        <w:spacing w:line="360" w:lineRule="auto"/>
        <w:jc w:val="both"/>
        <w:rPr>
          <w:rFonts w:ascii="Arial" w:hAnsi="Arial"/>
          <w:noProof w:val="0"/>
          <w:rtl/>
        </w:rPr>
      </w:pPr>
    </w:p>
    <w:p w:rsidR="00727E93" w:rsidRPr="00727E93" w:rsidRDefault="00727E93" w:rsidP="00727E93">
      <w:pPr>
        <w:spacing w:line="360" w:lineRule="auto"/>
        <w:jc w:val="both"/>
        <w:rPr>
          <w:rFonts w:ascii="Arial" w:hAnsi="Arial"/>
          <w:noProof w:val="0"/>
          <w:rtl/>
        </w:rPr>
      </w:pPr>
      <w:r w:rsidRPr="00727E93">
        <w:rPr>
          <w:rFonts w:ascii="Arial" w:hAnsi="Arial" w:hint="cs"/>
          <w:noProof w:val="0"/>
          <w:rtl/>
        </w:rPr>
        <w:t xml:space="preserve">עוד הוסיף בית המשפט קמא בהחלטתו, כי בדיון שהתקיים במעמד שני הצדדים התברר כי אמנם, כפי שעלה כבר בדיון הראשון, אין בקשתו של המערער מגלה עילה לפי חוק מניעת הטרדה מאיימת, אלא מדובר בניסיון חסר תום לב של המערער לדחות את מועד פינויו מהדירה השכורה. זאת חרף העובדה שכאמור, הסכם השכירות הסתיים עוד בחודש מרץ 2023 וכי התראה נוספת לפינויו מהדירה נשלחה אליו בחודש יוני 2023, שאף בה הובהר לו כי הפינוי הכרחי בשל עבודות ההריסה והבניה המתוכננות בנכס. בית המשפט אף עמד על כך שניסיון לגבש הבנות עם המערער לא צלח, מאחר שמטרתו הייתה לעכב את פינויו מהדירה. </w:t>
      </w:r>
    </w:p>
    <w:p w:rsidR="00727E93" w:rsidRPr="00727E93" w:rsidRDefault="00727E93" w:rsidP="00727E93">
      <w:pPr>
        <w:spacing w:line="360" w:lineRule="auto"/>
        <w:jc w:val="both"/>
        <w:rPr>
          <w:rFonts w:ascii="Arial" w:hAnsi="Arial"/>
          <w:noProof w:val="0"/>
          <w:rtl/>
        </w:rPr>
      </w:pPr>
    </w:p>
    <w:p w:rsidR="00727E93" w:rsidRPr="00727E93" w:rsidRDefault="00727E93" w:rsidP="00727E93">
      <w:pPr>
        <w:spacing w:line="360" w:lineRule="auto"/>
        <w:jc w:val="both"/>
        <w:rPr>
          <w:rFonts w:ascii="Arial" w:hAnsi="Arial"/>
          <w:noProof w:val="0"/>
          <w:rtl/>
        </w:rPr>
      </w:pPr>
      <w:r w:rsidRPr="00727E93">
        <w:rPr>
          <w:rFonts w:ascii="Arial" w:hAnsi="Arial" w:hint="cs"/>
          <w:noProof w:val="0"/>
          <w:rtl/>
        </w:rPr>
        <w:t>עיון בפרוטוקולים של הדיונים מעלה כי אמנם נעשו ניסיונות להביא לסיום ההליך בהסכמה, אך המערער סירב לכך. לפיכך ומאחר שלא דובר בהטרדה מאיימת, דחה בית המשפט קמא את הבקשה. כמו כן, משמצא כי המערער עשה שימוש לרעה בהליך שיפוטי, הוא חייב אותו לשאת בהוצאות המשיבה בסך 2,500 ₪.</w:t>
      </w:r>
    </w:p>
    <w:p w:rsidR="00727E93" w:rsidRPr="00727E93" w:rsidRDefault="00727E93" w:rsidP="00727E93">
      <w:pPr>
        <w:spacing w:line="360" w:lineRule="auto"/>
        <w:jc w:val="both"/>
        <w:rPr>
          <w:rFonts w:ascii="Arial" w:hAnsi="Arial"/>
          <w:noProof w:val="0"/>
          <w:rtl/>
        </w:rPr>
      </w:pPr>
    </w:p>
    <w:p w:rsidR="00727E93" w:rsidRPr="00727E93" w:rsidRDefault="00727E93" w:rsidP="00727E93">
      <w:pPr>
        <w:spacing w:line="360" w:lineRule="auto"/>
        <w:jc w:val="both"/>
        <w:rPr>
          <w:rFonts w:ascii="Arial" w:hAnsi="Arial"/>
          <w:noProof w:val="0"/>
          <w:rtl/>
        </w:rPr>
      </w:pPr>
      <w:r w:rsidRPr="00727E93">
        <w:rPr>
          <w:rFonts w:ascii="Arial" w:hAnsi="Arial" w:hint="cs"/>
          <w:noProof w:val="0"/>
          <w:rtl/>
        </w:rPr>
        <w:t>6.</w:t>
      </w:r>
      <w:r w:rsidRPr="00727E93">
        <w:rPr>
          <w:rFonts w:ascii="Arial" w:hAnsi="Arial" w:hint="cs"/>
          <w:noProof w:val="0"/>
          <w:rtl/>
        </w:rPr>
        <w:tab/>
        <w:t xml:space="preserve">לאחר בחינת הדברים וכאמור, הגעתי לכלל מסקנה כי אין כל מקום להתערב בהחלטת בית המשפט קמא, בהיותה נכונה וראויה. אף לא היה מקום להגשת כתב ערעור הכולל השתלחות חסרת </w:t>
      </w:r>
      <w:r w:rsidRPr="00727E93">
        <w:rPr>
          <w:rFonts w:ascii="Arial" w:hAnsi="Arial" w:hint="cs"/>
          <w:noProof w:val="0"/>
          <w:rtl/>
        </w:rPr>
        <w:lastRenderedPageBreak/>
        <w:t xml:space="preserve">רסן כלפי בית המשפט קמא. כך תמיד וכך על אחת כמה וכמה במקום שבו ניכר כי בית המשפט קמא שמע את המערער בסבלנות רבה וחרף האפשרות שעמדה לו לסלק את הבקשה כבר לאחר הדיון הראשון, זימן גם את הצד השני וקיים דיון נוסף במעמד שני הצדדים. חרף הניסיונות לסייע למערער ולהסביר לו כי לא היה מקום לבקשתו מלכתחילה, הוא עמד על בקשתו. </w:t>
      </w:r>
    </w:p>
    <w:p w:rsidR="00727E93" w:rsidRPr="00727E93" w:rsidRDefault="00727E93" w:rsidP="00727E93">
      <w:pPr>
        <w:spacing w:line="360" w:lineRule="auto"/>
        <w:jc w:val="both"/>
        <w:rPr>
          <w:rFonts w:ascii="Arial" w:hAnsi="Arial"/>
          <w:noProof w:val="0"/>
          <w:rtl/>
        </w:rPr>
      </w:pPr>
    </w:p>
    <w:p w:rsidR="00727E93" w:rsidRPr="00727E93" w:rsidRDefault="00727E93" w:rsidP="00727E93">
      <w:pPr>
        <w:spacing w:line="360" w:lineRule="auto"/>
        <w:jc w:val="both"/>
        <w:rPr>
          <w:rFonts w:ascii="Arial" w:hAnsi="Arial"/>
          <w:noProof w:val="0"/>
          <w:rtl/>
        </w:rPr>
      </w:pPr>
      <w:r w:rsidRPr="00727E93">
        <w:rPr>
          <w:rFonts w:ascii="Arial" w:hAnsi="Arial" w:hint="cs"/>
          <w:noProof w:val="0"/>
          <w:rtl/>
        </w:rPr>
        <w:t>בנסיבות אלו, אכן נכון היה לדחות את בקשתו של המערער ואף היה נכון לחיוב אותו בתשלום הוצאות המשיבה, אשר נאצלה להגיע לדיון מיותר בליווי עורך דין.</w:t>
      </w:r>
    </w:p>
    <w:p w:rsidR="00727E93" w:rsidRPr="00727E93" w:rsidRDefault="00727E93" w:rsidP="00727E93">
      <w:pPr>
        <w:spacing w:line="360" w:lineRule="auto"/>
        <w:jc w:val="both"/>
        <w:rPr>
          <w:rFonts w:ascii="Arial" w:hAnsi="Arial"/>
          <w:noProof w:val="0"/>
          <w:rtl/>
        </w:rPr>
      </w:pPr>
    </w:p>
    <w:p w:rsidR="00727E93" w:rsidRPr="00727E93" w:rsidRDefault="00727E93" w:rsidP="00727E93">
      <w:pPr>
        <w:spacing w:line="360" w:lineRule="auto"/>
        <w:jc w:val="both"/>
        <w:rPr>
          <w:rFonts w:ascii="Arial" w:hAnsi="Arial"/>
          <w:noProof w:val="0"/>
          <w:rtl/>
        </w:rPr>
      </w:pPr>
      <w:r w:rsidRPr="00727E93">
        <w:rPr>
          <w:rFonts w:ascii="Arial" w:hAnsi="Arial" w:hint="cs"/>
          <w:noProof w:val="0"/>
          <w:rtl/>
        </w:rPr>
        <w:t>7.</w:t>
      </w:r>
      <w:r w:rsidRPr="00727E93">
        <w:rPr>
          <w:rFonts w:ascii="Arial" w:hAnsi="Arial" w:hint="cs"/>
          <w:noProof w:val="0"/>
          <w:rtl/>
        </w:rPr>
        <w:tab/>
        <w:t xml:space="preserve">לפני סיום ראוי להזכיר דברים שנאמרו בהליך אחר, שאף בו בעל דין סבר כי הדרך לתקוף החלטה שיפוטית היא באמצעות תקיפת בית המשפט. לאחר שבאותו עניין מתח בית המשפט העליון ביקורת על אותן התבטאויות בוטות ולא מקובלות בין השאר, גם כלפי הערכאה הדיונית וכלפי הצד שכנגד, הוסיף והדגיש כי </w:t>
      </w:r>
      <w:r w:rsidRPr="00727E93">
        <w:rPr>
          <w:rFonts w:ascii="Arial" w:hAnsi="Arial" w:hint="cs"/>
          <w:b/>
          <w:bCs/>
          <w:noProof w:val="0"/>
          <w:rtl/>
        </w:rPr>
        <w:t>"התבטאויות מעין אלה, מקומן לא יכירן במערכת משפטית מתוקנת, שבה מחויבים הצדדים לכבד את בית המשפט ואת הצד האחר, גם אם קיימת מחלוקת בנושאים המקצועיים. מוטב לו לבא כוח המבקש לפשפש במעשיו ובהתבטאויותיו החריגות, והנני מקווה, עדיין, כי ישכיל להבין את הפסול הרב הטמון בהם"</w:t>
      </w:r>
      <w:r w:rsidRPr="00727E93">
        <w:rPr>
          <w:rFonts w:ascii="Arial" w:hAnsi="Arial" w:hint="cs"/>
          <w:noProof w:val="0"/>
          <w:rtl/>
        </w:rPr>
        <w:t xml:space="preserve"> (רע"פ 6921/12 </w:t>
      </w:r>
      <w:r w:rsidRPr="00727E93">
        <w:rPr>
          <w:rFonts w:ascii="Arial" w:hAnsi="Arial" w:hint="cs"/>
          <w:b/>
          <w:bCs/>
          <w:noProof w:val="0"/>
          <w:rtl/>
        </w:rPr>
        <w:t>פירר נ' מדינת ישראל</w:t>
      </w:r>
      <w:r w:rsidRPr="00727E93">
        <w:rPr>
          <w:rFonts w:ascii="Arial" w:hAnsi="Arial" w:hint="cs"/>
          <w:noProof w:val="0"/>
          <w:rtl/>
        </w:rPr>
        <w:t xml:space="preserve"> (9.10.2012)‏‏, פסקה 16, כבוד השופט א' שהם).</w:t>
      </w:r>
    </w:p>
    <w:p w:rsidR="00727E93" w:rsidRPr="00727E93" w:rsidRDefault="00727E93" w:rsidP="00727E93">
      <w:pPr>
        <w:spacing w:line="360" w:lineRule="auto"/>
        <w:jc w:val="both"/>
        <w:rPr>
          <w:rFonts w:ascii="Arial" w:hAnsi="Arial"/>
          <w:noProof w:val="0"/>
          <w:rtl/>
        </w:rPr>
      </w:pPr>
    </w:p>
    <w:p w:rsidR="00727E93" w:rsidRPr="00727E93" w:rsidRDefault="00727E93" w:rsidP="00727E93">
      <w:pPr>
        <w:spacing w:line="360" w:lineRule="auto"/>
        <w:jc w:val="both"/>
        <w:rPr>
          <w:rFonts w:ascii="Arial" w:hAnsi="Arial"/>
          <w:noProof w:val="0"/>
          <w:rtl/>
        </w:rPr>
      </w:pPr>
      <w:r w:rsidRPr="00727E93">
        <w:rPr>
          <w:rFonts w:ascii="Arial" w:hAnsi="Arial" w:hint="cs"/>
          <w:noProof w:val="0"/>
          <w:rtl/>
        </w:rPr>
        <w:t>8.</w:t>
      </w:r>
      <w:r w:rsidRPr="00727E93">
        <w:rPr>
          <w:rFonts w:ascii="Arial" w:hAnsi="Arial" w:hint="cs"/>
          <w:noProof w:val="0"/>
          <w:rtl/>
        </w:rPr>
        <w:tab/>
        <w:t>הערעור נדחה.</w:t>
      </w:r>
    </w:p>
    <w:p w:rsidR="00727E93" w:rsidRPr="00727E93" w:rsidRDefault="00727E93" w:rsidP="00727E93">
      <w:pPr>
        <w:spacing w:line="360" w:lineRule="auto"/>
        <w:jc w:val="both"/>
        <w:rPr>
          <w:rFonts w:ascii="Arial" w:hAnsi="Arial"/>
          <w:noProof w:val="0"/>
          <w:rtl/>
        </w:rPr>
      </w:pPr>
    </w:p>
    <w:p w:rsidR="00727E93" w:rsidRPr="00727E93" w:rsidRDefault="00727E93" w:rsidP="00727E93">
      <w:pPr>
        <w:spacing w:line="360" w:lineRule="auto"/>
        <w:jc w:val="both"/>
        <w:rPr>
          <w:rFonts w:ascii="Arial" w:hAnsi="Arial"/>
          <w:noProof w:val="0"/>
          <w:rtl/>
        </w:rPr>
      </w:pPr>
      <w:r w:rsidRPr="00727E93">
        <w:rPr>
          <w:rFonts w:ascii="Arial" w:hAnsi="Arial" w:hint="cs"/>
          <w:noProof w:val="0"/>
          <w:rtl/>
        </w:rPr>
        <w:t>רק לפנים משורת הדין ובהתחשב בהוצאות שבהן כבר חויב המערער לשלם בהתאם להחלטת בית המשפט קמא, הוא לא יחויב בתשלום הוצאות גם לאוצר המדינה בשל ערעור זה.</w:t>
      </w:r>
    </w:p>
    <w:p w:rsidR="00727E93" w:rsidRPr="00727E93" w:rsidRDefault="00727E93" w:rsidP="00727E93">
      <w:pPr>
        <w:spacing w:line="360" w:lineRule="auto"/>
        <w:jc w:val="both"/>
        <w:rPr>
          <w:rFonts w:ascii="Arial" w:hAnsi="Arial"/>
          <w:noProof w:val="0"/>
          <w:rtl/>
        </w:rPr>
      </w:pPr>
    </w:p>
    <w:p w:rsidR="00727E93" w:rsidRPr="00727E93" w:rsidRDefault="00727E93" w:rsidP="00727E93">
      <w:pPr>
        <w:spacing w:line="360" w:lineRule="auto"/>
        <w:jc w:val="both"/>
        <w:rPr>
          <w:rFonts w:ascii="Arial" w:hAnsi="Arial"/>
          <w:noProof w:val="0"/>
          <w:rtl/>
        </w:rPr>
      </w:pPr>
      <w:r w:rsidRPr="00727E93">
        <w:rPr>
          <w:rFonts w:ascii="Arial" w:hAnsi="Arial" w:hint="cs"/>
          <w:noProof w:val="0"/>
          <w:rtl/>
        </w:rPr>
        <w:t>המזכירות תמציא את פסק הדין אל שני הצדדים.</w:t>
      </w:r>
    </w:p>
    <w:p w:rsidR="00694556" w:rsidRDefault="00694556" w:rsidP="00163B02">
      <w:pPr>
        <w:spacing w:line="360" w:lineRule="auto"/>
        <w:jc w:val="both"/>
        <w:rPr>
          <w:rFonts w:ascii="Arial" w:hAnsi="Arial"/>
          <w:noProof w:val="0"/>
          <w:rtl/>
        </w:rPr>
      </w:pPr>
    </w:p>
    <w:p w:rsidR="00163B02" w:rsidRDefault="00163B02" w:rsidP="00163B02">
      <w:pPr>
        <w:spacing w:line="360" w:lineRule="auto"/>
        <w:rPr>
          <w:noProof w:val="0"/>
        </w:rPr>
      </w:pPr>
      <w:r>
        <w:rPr>
          <w:rFonts w:hint="cs"/>
          <w:rtl/>
        </w:rPr>
        <w:t>לא ברור מדוע מלכתחילה התיק נפתח כחסוי לציבור. מכל מקום, משהוסרו שמות הצדדים, אין מניעה לפרסם את פסק הדין.</w:t>
      </w:r>
    </w:p>
    <w:p w:rsidR="00694556" w:rsidRPr="00C770E3" w:rsidRDefault="00694556" w:rsidP="00163B02">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B37CA3">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r>
        <w:rPr>
          <w:rFonts w:ascii="Arial" w:hAnsi="Arial"/>
          <w:noProof w:val="0"/>
          <w:rtl/>
        </w:rPr>
        <w:t xml:space="preserve">כ"ט </w:t>
      </w:r>
      <w:r w:rsidR="00B37CA3">
        <w:rPr>
          <w:rFonts w:ascii="Arial" w:hAnsi="Arial" w:hint="cs"/>
          <w:noProof w:val="0"/>
          <w:rtl/>
        </w:rPr>
        <w:t>ב</w:t>
      </w:r>
      <w:r>
        <w:rPr>
          <w:rFonts w:ascii="Arial" w:hAnsi="Arial"/>
          <w:noProof w:val="0"/>
          <w:rtl/>
        </w:rPr>
        <w:t xml:space="preserve">אב </w:t>
      </w:r>
      <w:r w:rsidR="00B37CA3">
        <w:rPr>
          <w:rFonts w:ascii="Arial" w:hAnsi="Arial" w:hint="cs"/>
          <w:noProof w:val="0"/>
          <w:rtl/>
        </w:rPr>
        <w:t>ה</w:t>
      </w:r>
      <w:r>
        <w:rPr>
          <w:rFonts w:ascii="Arial" w:hAnsi="Arial"/>
          <w:noProof w:val="0"/>
          <w:rtl/>
        </w:rPr>
        <w:t>תשפ"ג</w:t>
      </w:r>
      <w:r w:rsidR="00005C8B">
        <w:rPr>
          <w:rFonts w:ascii="Arial" w:hAnsi="Arial"/>
          <w:noProof w:val="0"/>
          <w:rtl/>
        </w:rPr>
        <w:t xml:space="preserve">, </w:t>
      </w:r>
      <w:r>
        <w:rPr>
          <w:rFonts w:ascii="Arial" w:hAnsi="Arial"/>
          <w:noProof w:val="0"/>
          <w:rtl/>
        </w:rPr>
        <w:t xml:space="preserve">16 </w:t>
      </w:r>
      <w:r w:rsidR="00B37CA3">
        <w:rPr>
          <w:rFonts w:ascii="Arial" w:hAnsi="Arial" w:hint="cs"/>
          <w:noProof w:val="0"/>
          <w:rtl/>
        </w:rPr>
        <w:t>ב</w:t>
      </w:r>
      <w:r>
        <w:rPr>
          <w:rFonts w:ascii="Arial" w:hAnsi="Arial"/>
          <w:noProof w:val="0"/>
          <w:rtl/>
        </w:rPr>
        <w:t>אוגוסט 2023</w:t>
      </w:r>
      <w:r w:rsidR="00005C8B">
        <w:rPr>
          <w:rFonts w:ascii="Arial" w:hAnsi="Arial"/>
          <w:noProof w:val="0"/>
          <w:rtl/>
        </w:rPr>
        <w:t>, בה</w:t>
      </w:r>
      <w:r w:rsidR="00B37CA3">
        <w:rPr>
          <w:rFonts w:ascii="Arial" w:hAnsi="Arial" w:hint="cs"/>
          <w:noProof w:val="0"/>
          <w:rtl/>
        </w:rPr>
        <w:t>י</w:t>
      </w:r>
      <w:r w:rsidR="00005C8B">
        <w:rPr>
          <w:rFonts w:ascii="Arial" w:hAnsi="Arial"/>
          <w:noProof w:val="0"/>
          <w:rtl/>
        </w:rPr>
        <w:t>עדר הצדדים.</w:t>
      </w:r>
    </w:p>
    <w:tbl>
      <w:tblPr>
        <w:tblStyle w:val="a9"/>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2"/>
      </w:tblGrid>
      <w:tr w:rsidR="00B37CA3" w:rsidTr="002E4F6C">
        <w:trPr>
          <w:jc w:val="right"/>
        </w:trPr>
        <w:tc>
          <w:tcPr>
            <w:tcW w:w="2392" w:type="dxa"/>
            <w:tcBorders>
              <w:top w:val="nil"/>
              <w:left w:val="nil"/>
              <w:bottom w:val="single" w:sz="4" w:space="0" w:color="auto"/>
              <w:right w:val="nil"/>
            </w:tcBorders>
            <w:vAlign w:val="center"/>
          </w:tcPr>
          <w:p w:rsidR="00B37CA3" w:rsidRDefault="00B37CA3" w:rsidP="004A1D17">
            <w:pPr>
              <w:spacing w:before="40" w:after="40"/>
              <w:jc w:val="center"/>
              <w:rPr>
                <w:rFonts w:ascii="Courier New" w:hAnsi="Courier New"/>
                <w:b/>
                <w:bCs/>
                <w:rtl/>
              </w:rPr>
            </w:pPr>
            <w:r>
              <w:drawing>
                <wp:inline distT="0" distB="0" distL="0" distR="0">
                  <wp:extent cx="1190625" cy="621030"/>
                  <wp:effectExtent l="0" t="0" r="9525" b="7620"/>
                  <wp:docPr id="1" name="תמונה 1" descr="C:\Users\ShimiG\AppData\Local\Microsoft\Windows\Temporary Internet Files\Content.Word\05971342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Temporary Internet Files\Content.Word\059713420.t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621030"/>
                          </a:xfrm>
                          <a:prstGeom prst="rect">
                            <a:avLst/>
                          </a:prstGeom>
                          <a:noFill/>
                          <a:ln>
                            <a:noFill/>
                          </a:ln>
                        </pic:spPr>
                      </pic:pic>
                    </a:graphicData>
                  </a:graphic>
                </wp:inline>
              </w:drawing>
            </w:r>
          </w:p>
        </w:tc>
      </w:tr>
      <w:tr w:rsidR="00B37CA3" w:rsidTr="002E4F6C">
        <w:trPr>
          <w:jc w:val="right"/>
        </w:trPr>
        <w:tc>
          <w:tcPr>
            <w:tcW w:w="2392" w:type="dxa"/>
            <w:tcBorders>
              <w:top w:val="single" w:sz="4" w:space="0" w:color="auto"/>
              <w:left w:val="nil"/>
              <w:bottom w:val="nil"/>
              <w:right w:val="nil"/>
            </w:tcBorders>
          </w:tcPr>
          <w:p w:rsidR="00B37CA3" w:rsidRDefault="00B37CA3" w:rsidP="00E767EE">
            <w:pPr>
              <w:pStyle w:val="3"/>
              <w:spacing w:before="40" w:after="40" w:line="240" w:lineRule="auto"/>
              <w:jc w:val="center"/>
              <w:outlineLvl w:val="2"/>
              <w:rPr>
                <w:sz w:val="28"/>
                <w:rtl/>
              </w:rPr>
            </w:pPr>
            <w:r>
              <w:rPr>
                <w:rFonts w:hint="cs"/>
                <w:sz w:val="28"/>
                <w:rtl/>
              </w:rPr>
              <w:t>תמר בר-אשר, שופטת</w:t>
            </w:r>
          </w:p>
        </w:tc>
      </w:tr>
    </w:tbl>
    <w:p w:rsidR="00B37CA3" w:rsidRDefault="00B37CA3" w:rsidP="00B37CA3">
      <w:pPr>
        <w:spacing w:line="360" w:lineRule="auto"/>
        <w:jc w:val="both"/>
        <w:rPr>
          <w:rFonts w:ascii="Arial" w:hAnsi="Arial"/>
          <w:noProof w:val="0"/>
          <w:rtl/>
        </w:rPr>
      </w:pPr>
    </w:p>
    <w:sectPr w:rsidR="00B37CA3" w:rsidSect="00727E93">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276"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A9C" w:rsidRDefault="00D56A9C">
      <w:r>
        <w:separator/>
      </w:r>
    </w:p>
  </w:endnote>
  <w:endnote w:type="continuationSeparator" w:id="0">
    <w:p w:rsidR="00D56A9C" w:rsidRDefault="00D56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81941">
      <w:rPr>
        <w:rStyle w:val="ab"/>
        <w:rFonts w:cs="Times New Roman"/>
        <w:rtl/>
      </w:rPr>
      <w:t>3</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81941">
      <w:rPr>
        <w:rStyle w:val="ab"/>
        <w:rtl/>
      </w:rPr>
      <w:t>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A9C" w:rsidRDefault="00D56A9C">
      <w:r>
        <w:separator/>
      </w:r>
    </w:p>
  </w:footnote>
  <w:footnote w:type="continuationSeparator" w:id="0">
    <w:p w:rsidR="00D56A9C" w:rsidRDefault="00D56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727E93">
      <w:trPr>
        <w:trHeight w:hRule="exact" w:val="426"/>
        <w:jc w:val="center"/>
      </w:trPr>
      <w:sdt>
        <w:sdtPr>
          <w:rPr>
            <w:rFonts w:ascii="Tahoma" w:hAnsi="Tahoma"/>
            <w:color w:val="000080"/>
            <w:sz w:val="30"/>
            <w:szCs w:val="30"/>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727E93">
                <w:rPr>
                  <w:rFonts w:ascii="Tahoma" w:hAnsi="Tahoma"/>
                  <w:color w:val="000080"/>
                  <w:sz w:val="30"/>
                  <w:szCs w:val="30"/>
                  <w:rtl/>
                </w:rPr>
                <w:t>בית המשפט המחוזי בירושלים בשבתו כבית-משפט לערעורים אזרחיים</w:t>
              </w:r>
            </w:p>
          </w:tc>
        </w:sdtContent>
      </w:sdt>
    </w:tr>
    <w:tr w:rsidR="00694556" w:rsidTr="00727E93">
      <w:trPr>
        <w:trHeight w:val="337"/>
        <w:jc w:val="center"/>
      </w:trPr>
      <w:tc>
        <w:tcPr>
          <w:tcW w:w="8307" w:type="dxa"/>
        </w:tcPr>
        <w:p w:rsidR="007D45E3" w:rsidRDefault="00E81941" w:rsidP="00163B02">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ע"א</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23567-08-23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727E93">
                <w:rPr>
                  <w:rFonts w:hint="cs"/>
                  <w:b/>
                  <w:bCs/>
                  <w:noProof w:val="0"/>
                  <w:sz w:val="26"/>
                  <w:szCs w:val="26"/>
                  <w:rtl/>
                </w:rPr>
                <w:t>י</w:t>
              </w:r>
              <w:r w:rsidR="00163B02">
                <w:rPr>
                  <w:rFonts w:hint="cs"/>
                  <w:b/>
                  <w:bCs/>
                  <w:noProof w:val="0"/>
                  <w:sz w:val="26"/>
                  <w:szCs w:val="26"/>
                  <w:rtl/>
                </w:rPr>
                <w:t xml:space="preserve">' י' </w:t>
              </w:r>
              <w:r w:rsidR="00B859C5">
                <w:rPr>
                  <w:b/>
                  <w:bCs/>
                  <w:noProof w:val="0"/>
                  <w:sz w:val="26"/>
                  <w:szCs w:val="26"/>
                  <w:rtl/>
                </w:rPr>
                <w:t xml:space="preserve"> נ' </w:t>
              </w:r>
              <w:r w:rsidR="00163B02">
                <w:rPr>
                  <w:rFonts w:hint="cs"/>
                  <w:b/>
                  <w:bCs/>
                  <w:noProof w:val="0"/>
                  <w:sz w:val="26"/>
                  <w:szCs w:val="26"/>
                  <w:rtl/>
                </w:rPr>
                <w:t xml:space="preserve"> ש' ג'</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0658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06581&amp;lt;/CaseID&amp;gt;_x000d__x000a_        &amp;lt;CaseMonth&amp;gt;8&amp;lt;/CaseMonth&amp;gt;_x000d__x000a_        &amp;lt;CaseYear&amp;gt;2023&amp;lt;/CaseYear&amp;gt;_x000d__x000a_        &amp;lt;CaseNumber&amp;gt;23567&amp;lt;/CaseNumber&amp;gt;_x000d__x000a_        &amp;lt;NumeratorGroupID&amp;gt;1&amp;lt;/NumeratorGroupID&amp;gt;_x000d__x000a_        &amp;lt;CaseName&amp;gt;יום טוב נ&amp;#39; גולדמן&amp;lt;/CaseName&amp;gt;_x000d__x000a_        &amp;lt;CourtID&amp;gt;14&amp;lt;/CourtID&amp;gt;_x000d__x000a_        &amp;lt;CaseTypeID&amp;gt;10001&amp;lt;/CaseTypeID&amp;gt;_x000d__x000a_        &amp;lt;CaseInterestID&amp;gt;10435&amp;lt;/CaseInterestID&amp;gt;_x000d__x000a_        &amp;lt;CaseJudgeName&amp;gt;תמר בר-אשר&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3567-08-23&amp;lt;/CaseDisplayIdentifier&amp;gt;_x000d__x000a_        &amp;lt;CaseTypeDesc&amp;gt;ע&amp;quot;א&amp;lt;/CaseTypeDesc&amp;gt;_x000d__x000a_        &amp;lt;CourtDesc&amp;gt;המחוזי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PendingDifferentCaseVerdict&amp;gt;false&amp;lt;/IsPendingDifferentCaseVerdict&amp;gt;_x000d__x000a_        &amp;lt;IsUnpaidFeeExist&amp;gt;false&amp;lt;/IsUnpaidFeeExist&amp;gt;_x000d__x000a_        &amp;lt;IsExecutionDelayed&amp;gt;false&amp;lt;/IsExecutionDelayed&amp;gt;_x000d__x000a_        &amp;lt;CaseNextDeterminingTask&amp;gt;140&amp;lt;/CaseNextDeterminingTask&amp;gt;_x000d__x000a_        &amp;lt;TemporaryAidStatus /&amp;gt;_x000d__x000a_        &amp;lt;CaseOpenDate&amp;gt;2023-08-09T14:56:00+03:00&amp;lt;/CaseOpenDate&amp;gt;_x000d__x000a_        &amp;lt;PleaTypeID&amp;gt;6&amp;lt;/PleaTypeID&amp;gt;_x000d__x000a_        &amp;lt;CourtLevelID&amp;gt;2&amp;lt;/CourtLevelID&amp;gt;_x000d__x000a_        &amp;lt;CourtLevelCaseTypeInterestID&amp;gt;1528&amp;lt;/CourtLevelCaseTypeInterestID&amp;gt;_x000d__x000a_        &amp;lt;CaseJudgeFirstName&amp;gt;תמר&amp;lt;/CaseJudgeFirstName&amp;gt;_x000d__x000a_        &amp;lt;CaseJudgeLastName&amp;gt;בר-אשר&amp;lt;/CaseJudgeLastName&amp;gt;_x000d__x000a_        &amp;lt;JudicalPersonID&amp;gt;059713420@GOV.IL&amp;lt;/JudicalPersonID&amp;gt;_x000d__x000a_        &amp;lt;IsJudicalPanel&amp;gt;false&amp;lt;/IsJudicalPanel&amp;gt;_x000d__x000a_        &amp;lt;CourtDisplayName&amp;gt;בית המשפט המחוזי בירושלים בשבתו כבית-משפט לערעורים אזרחיים&amp;lt;/CourtDisplayName&amp;gt;_x000d__x000a_        &amp;lt;IsAllStartDataCollected&amp;gt;true&amp;lt;/IsAllStartDataCollected&amp;gt;_x000d__x000a_        &amp;lt;IsMainCase&amp;gt;true&amp;lt;/IsMainCase&amp;gt;_x000d__x000a_        &amp;lt;CaseDesc&amp;gt;בארון._x000d__x000a_&amp;lt;/CaseDesc&amp;gt;_x000d__x000a_        &amp;lt;isExistMinorSide&amp;gt;false&amp;lt;/isExistMinorSide&amp;gt;_x000d__x000a_        &amp;lt;isExistMinorWitness&amp;gt;false&amp;lt;/isExistMinorWitness&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06581&amp;lt;/CaseID&amp;gt;_x000d__x000a_        &amp;lt;CaseMonth&amp;gt;8&amp;lt;/CaseMonth&amp;gt;_x000d__x000a_        &amp;lt;CaseYear&amp;gt;2023&amp;lt;/CaseYear&amp;gt;_x000d__x000a_        &amp;lt;CaseNumber&amp;gt;23567&amp;lt;/CaseNumber&amp;gt;_x000d__x000a_        &amp;lt;NumeratorGroupID&amp;gt;1&amp;lt;/NumeratorGroupID&amp;gt;_x000d__x000a_        &amp;lt;CaseName&amp;gt;יום טוב נ&amp;#39; גולדמן&amp;lt;/CaseName&amp;gt;_x000d__x000a_        &amp;lt;CourtID&amp;gt;14&amp;lt;/CourtID&amp;gt;_x000d__x000a_        &amp;lt;CaseTypeID&amp;gt;10001&amp;lt;/CaseTypeID&amp;gt;_x000d__x000a_        &amp;lt;CaseInterestID&amp;gt;10435&amp;lt;/CaseInterestID&amp;gt;_x000d__x000a_        &amp;lt;CaseJudgeName&amp;gt;תמר בר-אשר&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3567-08-23&amp;lt;/CaseDisplayIdentifier&amp;gt;_x000d__x000a_        &amp;lt;CaseTypeDesc&amp;gt;ע&amp;quot;א&amp;lt;/CaseTypeDesc&amp;gt;_x000d__x000a_        &amp;lt;CourtDesc&amp;gt;המחוזי ירושלים&amp;lt;/CourtDesc&amp;gt;_x000d__x000a_        &amp;lt;CaseStageDesc&amp;gt;תיק אלקטרוני&amp;lt;/CaseStageDesc&amp;gt;_x000d__x000a_        &amp;lt;CaseNextDeterminingTask&amp;gt;140&amp;lt;/CaseNextDeterminingTask&amp;gt;_x000d__x000a_        &amp;lt;CaseOpenDate&amp;gt;2023-08-09T14:56:00+03:00&amp;lt;/CaseOpenDate&amp;gt;_x000d__x000a_        &amp;lt;PleaTypeID&amp;gt;6&amp;lt;/PleaTypeID&amp;gt;_x000d__x000a_        &amp;lt;CourtLevelID&amp;gt;2&amp;lt;/CourtLevelID&amp;gt;_x000d__x000a_        &amp;lt;CourtLevelCaseTypeInterestID&amp;gt;1528&amp;lt;/CourtLevelCaseTypeInterestID&amp;gt;_x000d__x000a_        &amp;lt;CaseJudgeFirstName&amp;gt;תמר&amp;lt;/CaseJudgeFirstName&amp;gt;_x000d__x000a_        &amp;lt;CaseJudgeLastName&amp;gt;בר-אשר&amp;lt;/CaseJudgeLastName&amp;gt;_x000d__x000a_        &amp;lt;JudicalPersonID&amp;gt;059713420@GOV.IL&amp;lt;/JudicalPersonID&amp;gt;_x000d__x000a_        &amp;lt;IsJudicalPanel&amp;gt;false&amp;lt;/IsJudicalPanel&amp;gt;_x000d__x000a_        &amp;lt;CourtDisplayName&amp;gt;בית המשפט המחוזי בירושלים בשבתו כבית-משפט לערעורים אזרחיים&amp;lt;/CourtDisplayName&amp;gt;_x000d__x000a_        &amp;lt;IsAllStartDataCollected&amp;gt;true&amp;lt;/IsAllStartDataCollected&amp;gt;_x000d__x000a_        &amp;lt;IsMainCase&amp;gt;true&amp;lt;/IsMainCase&amp;gt;_x000d__x000a_        &amp;lt;CaseDesc&amp;gt;בארון._x000d__x000a_&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08-16T14:57:08.8095276+03:00&amp;lt;/DecisionStatusChangeDate&amp;gt;_x000d__x000a_        &amp;lt;DecisionSignatureDate&amp;gt;2023-08-16T14:57:08.8095276+03:00&amp;lt;/DecisionSignatureDate&amp;gt;_x000d__x000a_        &amp;lt;DecisionSignatureUserID&amp;gt;059713420@GOV.IL&amp;lt;/DecisionSignatureUserID&amp;gt;_x000d__x000a_        &amp;lt;DecisionCreateDate&amp;gt;2023-08-16T14:57:08.8095276+03:00&amp;lt;/DecisionCreateDate&amp;gt;_x000d__x000a_        &amp;lt;DecisionChangeDate&amp;gt;2023-08-16T14:57:08.8095276+03:00&amp;lt;/DecisionChangeDate&amp;gt;_x000d__x000a_        &amp;lt;DecisionChangeUserID&amp;gt;05971342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71342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71342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50658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435"/>
    <w:docVar w:name="NGCS.TemplateCaseTypeID" w:val="10001"/>
    <w:docVar w:name="NGCS.TemplateCategoryID" w:val="80"/>
    <w:docVar w:name="NGCS.TemplateCourtID" w:val="14"/>
    <w:docVar w:name="NGCS.TemplateProceedingID" w:val="14"/>
    <w:docVar w:name="SelectedDocumentID" w:val="419059569"/>
    <w:docVar w:name="WordClientAssemblyName" w:val="NGCS.Decision.ClientWordBL"/>
    <w:docVar w:name="WordClientClassName" w:val="NGCS.Decision.ClientWordBL.DecisionClient"/>
  </w:docVars>
  <w:rsids>
    <w:rsidRoot w:val="00694556"/>
    <w:rsid w:val="00000062"/>
    <w:rsid w:val="0000226B"/>
    <w:rsid w:val="00005C8B"/>
    <w:rsid w:val="00035176"/>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63B02"/>
    <w:rsid w:val="00176CC5"/>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75BB1"/>
    <w:rsid w:val="004B7208"/>
    <w:rsid w:val="004C17EE"/>
    <w:rsid w:val="004C4BDF"/>
    <w:rsid w:val="004D1187"/>
    <w:rsid w:val="004D3AA0"/>
    <w:rsid w:val="004E1987"/>
    <w:rsid w:val="004E2E15"/>
    <w:rsid w:val="004E6E3C"/>
    <w:rsid w:val="00520898"/>
    <w:rsid w:val="00523621"/>
    <w:rsid w:val="00524986"/>
    <w:rsid w:val="005268F6"/>
    <w:rsid w:val="0053181C"/>
    <w:rsid w:val="00534284"/>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27E93"/>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37CA3"/>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15F23"/>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56A9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81941"/>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qFormat/>
    <w:rsid w:val="00B37CA3"/>
    <w:pPr>
      <w:keepNext/>
      <w:spacing w:line="360" w:lineRule="auto"/>
      <w:jc w:val="both"/>
      <w:outlineLvl w:val="2"/>
    </w:pPr>
    <w:rPr>
      <w:b/>
      <w:bCs/>
      <w:sz w:val="20"/>
      <w:lang w:eastAsia="he-IL"/>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30">
    <w:name w:val="כותרת 3 תו"/>
    <w:basedOn w:val="a0"/>
    <w:link w:val="3"/>
    <w:rsid w:val="00B37CA3"/>
    <w:rPr>
      <w:rFonts w:cs="David"/>
      <w:b/>
      <w:bCs/>
      <w:noProof/>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016939">
      <w:bodyDiv w:val="1"/>
      <w:marLeft w:val="0"/>
      <w:marRight w:val="0"/>
      <w:marTop w:val="0"/>
      <w:marBottom w:val="0"/>
      <w:divBdr>
        <w:top w:val="none" w:sz="0" w:space="0" w:color="auto"/>
        <w:left w:val="none" w:sz="0" w:space="0" w:color="auto"/>
        <w:bottom w:val="none" w:sz="0" w:space="0" w:color="auto"/>
        <w:right w:val="none" w:sz="0" w:space="0" w:color="auto"/>
      </w:divBdr>
    </w:div>
    <w:div w:id="84463435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DF4A67"/>
    <w:rsid w:val="00E15C2B"/>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15C2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E15C2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80506581</CaseID>
    <CaseJudicialPersonPresentationDS>
      <CaseJudicalPersonActive>
        <CaseID>80506581</CaseID>
        <JudicialPersonID>059713420@GOV.IL</JudicialPersonID>
        <JudicialPersonTypeID>1</JudicialPersonTypeID>
        <JudicialTypeID>1</JudicialTypeID>
        <IsChairman>false</IsChairman>
        <TreatmentStartDate>2023-08-11T11:47:10.46+03:00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1 - מבקש</RoleName>
        <IsSubProceeding>FALSE</IsSubProceeding>
        <FullName>יוסף יום טוב</FullName>
        <FirstName>יוסף</FirstName>
        <LastName>יום טוב</LastName>
        <PartyPropertyName/>
        <AuthenticationTypeAndNumber>ת"ז 342431673</AuthenticationTypeAndNumber>
        <RepresentatedOrRepresentativesNames/>
        <RepresentatedOrRepresentativesCount>0</RepresentatedOrRepresentativesCount>
        <InvitedBy/>
        <CaseID>80506581</CaseID>
        <CaseJudicialPersonPresentationDS>
          <CaseJudicalPersonActive>
            <CaseID>80506581</CaseID>
            <JudicialPersonID>059713420@GOV.IL</JudicialPersonID>
            <JudicialPersonTypeID>1</JudicialPersonTypeID>
            <JudicialTypeID>1</JudicialTypeID>
            <IsChairman>false</IsChairman>
            <TreatmentStartDate>2023-08-11T11:47:10.46+03:00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259350592</CasePartyID>
        <PartyTypeID>1</PartyTypeID>
        <ActivityStatusID>1</ActivityStatusID>
        <PartyAliasID>5</PartyAliasID>
        <PartyAliasName>מערער</PartyAliasName>
        <OrdinalNumber>1</OrdinalNumber>
        <LegalEntityID>77869044</LegalEntityID>
        <CaseLegalEntityID>125515943</CaseLegalEntityID>
        <AuthenticationTypeID>1</AuthenticationTypeID>
        <AuthenticationTypeName>ת"ז</AuthenticationTypeName>
        <LegalEntityNumber>342431673</LegalEntityNumber>
        <IsMainPartyType>true</IsMainPartyType>
        <CaseDisplayIdentifier>23567-08-23</CaseDisplayIdentifier>
        <CaseTypeID>10001</CaseTypeID>
        <CaseTypeName>ערעור אזרחי (ע"א)</CaseTypeName>
        <CaseName>יום טוב נ' גולדמן</CaseName>
        <FullAddress>יפו 59 ירושלים </FullAddress>
        <MotionID>0</MotionID>
        <CasePleaID>0</CasePleaID>
        <BirthDate>1962-02-12T00:00:00+02:00</BirthDate>
        <FatherName>אברהם</FatherName>
        <LinkedCaseID>0</LinkedCaseID>
        <PartyID>1</PartyID>
        <CasePartyCategoryID>2</CasePartyCategoryID>
        <LegalEntityAddressID>88223860</LegalEntityAddressID>
        <PleaTypeID>6</PleaTypeID>
        <GroupPartyAlias>מערערים</GroupPartyAlias>
        <IsConverted>false</IsConverted>
        <LegalEntityRegisteredNameID>8483454</LegalEntityRegisteredNameID>
        <LegalEntityNameID>95242019</LegalEntityNameID>
        <RepresentatedNamesOfAssistant/>
        <LegalEntityTypeID>1</LegalEntityTypeID>
        <IsVerdictExists>false</IsVerdictExists>
        <IsAsirAzir>false</IsAsirAzir>
        <IsPublicationProhibited>false</IsPublicationProhibited>
        <PublicationProhibitedFullName>יוסף יום טוב</PublicationProhibitedFullName>
      </CaseParties>
      <CaseParties>
        <PartyTypeName>צד</PartyTypeName>
        <ProceedingType>כתב טענות עיקרי</ProceedingType>
        <PleaName>הודעת ערעור</PleaName>
        <PartyBelonging>צד ב'</PartyBelonging>
        <RoleName>משיב 1 - משיב</RoleName>
        <IsSubProceeding>FALSE</IsSubProceeding>
        <FullName>שירי גולדמן</FullName>
        <FirstName>שירי</FirstName>
        <LastName>גולדמן</LastName>
        <PartyPropertyName/>
        <AuthenticationTypeAndNumber>ת"ז </AuthenticationTypeAndNumber>
        <RepresentatedOrRepresentativesNames/>
        <RepresentatedOrRepresentativesCount>0</RepresentatedOrRepresentativesCount>
        <InvitedBy/>
        <CaseID>80506581</CaseID>
        <CaseJudicialPersonPresentationDS>
          <CaseJudicalPersonActive>
            <CaseID>80506581</CaseID>
            <JudicialPersonID>059713420@GOV.IL</JudicialPersonID>
            <JudicialPersonTypeID>1</JudicialPersonTypeID>
            <JudicialTypeID>1</JudicialTypeID>
            <IsChairman>false</IsChairman>
            <TreatmentStartDate>2023-08-11T11:47:10.46+03:00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259350593</CasePartyID>
        <PartyTypeID>1</PartyTypeID>
        <ActivityStatusID>1</ActivityStatusID>
        <PartyAliasID>4</PartyAliasID>
        <PartyAliasName>משיב</PartyAliasName>
        <OrdinalNumber>1</OrdinalNumber>
        <LegalEntityID>81367397</LegalEntityID>
        <CaseLegalEntityID>125515944</CaseLegalEntityID>
        <AuthenticationTypeID>1</AuthenticationTypeID>
        <AuthenticationTypeName>ת"ז</AuthenticationTypeName>
        <IsMainPartyType>true</IsMainPartyType>
        <CaseDisplayIdentifier>23567-08-23</CaseDisplayIdentifier>
        <CaseTypeID>10001</CaseTypeID>
        <CaseTypeName>ערעור אזרחי (ע"א)</CaseTypeName>
        <CaseName>יום טוב נ' גולדמן</CaseName>
        <FullAddress>.</FullAddress>
        <MotionID>0</MotionID>
        <CasePleaID>0</CasePleaID>
        <LinkedCaseID>0</LinkedCaseID>
        <PartyID>2</PartyID>
        <CasePartyCategoryID>2</CasePartyCategoryID>
        <LegalEntityAddressID>88224398</LegalEntityAddressID>
        <PleaTypeID>6</PleaTypeID>
        <GroupPartyAlias>משיבים</GroupPartyAlias>
        <IsConverted>false</IsConverted>
        <LegalEntityNameID>95242020</LegalEntityNameID>
        <RepresentatedNamesOfAssistant/>
        <LegalEntityTypeID>1</LegalEntityTypeID>
        <IsVerdictExists>false</IsVerdictExists>
        <IsAsirAzir>false</IsAsirAzir>
        <IsPublicationProhibited>false</IsPublicationProhibited>
        <PublicationProhibitedFullName>שירי גולדמן</PublicationProhibitedFullName>
      </CaseParties>
    </CasePartiesSelectionDS>
    <DecisionName>פסק דין  שניתנה ע"י  תמר בר-אשר</DecisionName>
    <CourtDisplayName>בית המשפט המחוזי בירושלים בשבתו כבית-משפט לערעורים אזרחיים</CourtDisplayName>
    <IsCaseJudgePanel>false</IsCaseJudgePanel>
    <DecisionSignatureDate>2023-08-16T14:57:08.8095276+03:00</DecisionSignatureDate>
    <OpenCaseDate>2023-08-09T14:56:00+03:00</OpenCaseDate>
    <CaseFeeSum>0.000</CaseFeeSum>
    <DecisionTypeID>2</DecisionTypeID>
    <DecisionSignatureUserName>תמר בר-אשר</DecisionSignatureUserName>
    <DecisionSignatureDateHebrew>2023-08-16T14:57:08.8095276+03:00</DecisionSignatureDateHebrew>
    <DecisionWriterID>059713420@GOV.IL</DecisionWriterID>
    <CourtAddress>רח'  צאלח-א-דין  40, ירושלים 9711060</CourtAddress>
    <IsAutoTextInCaseExist>false</IsAutoTextInCaseExist>
    <DecisionSignatureRoleName>שופט</DecisionSignatureRoleName>
    <DecisionSignatureUserTitleName>שופטת</DecisionSignatureUserTitleName>
    <CaseName>יום טוב נ' גולדמן</CaseName>
    <DecisionNumberInCase>1</DecisionNumberInCase>
  </dt_Decision>
  <dt_DecisionCase>
    <DecisionID>0</DecisionID>
    <CaseID>80506581</CaseID>
    <CaseJudicialPersonPresentationDS>
      <CaseJudicalPersonActive>
        <CaseID>80506581</CaseID>
        <JudicialPersonID>059713420@GOV.IL</JudicialPersonID>
        <JudicialPersonTypeID>1</JudicialPersonTypeID>
        <JudicialTypeID>1</JudicialTypeID>
        <IsChairman>false</IsChairman>
        <TreatmentStartDate>2023-08-11T11:47:10.46+03:00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1 - מבקש</RoleName>
        <IsSubProceeding>FALSE</IsSubProceeding>
        <FullName>יוסף יום טוב</FullName>
        <FirstName>יוסף</FirstName>
        <LastName>יום טוב</LastName>
        <PartyPropertyName/>
        <AuthenticationTypeAndNumber>ת"ז 342431673</AuthenticationTypeAndNumber>
        <RepresentatedOrRepresentativesNames/>
        <RepresentatedOrRepresentativesCount>0</RepresentatedOrRepresentativesCount>
        <InvitedBy/>
        <CaseID>80506581</CaseID>
        <CaseJudicialPersonPresentationDS>
          <CaseJudicalPersonActive>
            <CaseID>80506581</CaseID>
            <JudicialPersonID>059713420@GOV.IL</JudicialPersonID>
            <JudicialPersonTypeID>1</JudicialPersonTypeID>
            <JudicialTypeID>1</JudicialTypeID>
            <IsChairman>false</IsChairman>
            <TreatmentStartDate>2023-08-11T11:47:10.46+03:00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259350592</CasePartyID>
        <PartyTypeID>1</PartyTypeID>
        <ActivityStatusID>1</ActivityStatusID>
        <PartyAliasID>5</PartyAliasID>
        <PartyAliasName>מערער</PartyAliasName>
        <OrdinalNumber>1</OrdinalNumber>
        <LegalEntityID>77869044</LegalEntityID>
        <CaseLegalEntityID>125515943</CaseLegalEntityID>
        <AuthenticationTypeID>1</AuthenticationTypeID>
        <AuthenticationTypeName>ת"ז</AuthenticationTypeName>
        <LegalEntityNumber>342431673</LegalEntityNumber>
        <IsMainPartyType>true</IsMainPartyType>
        <CaseDisplayIdentifier>23567-08-23</CaseDisplayIdentifier>
        <CaseTypeID>10001</CaseTypeID>
        <CaseTypeName>ערעור אזרחי (ע"א)</CaseTypeName>
        <CaseName>יום טוב נ' גולדמן</CaseName>
        <FullAddress>יפו 59 ירושלים </FullAddress>
        <MotionID>0</MotionID>
        <CasePleaID>0</CasePleaID>
        <BirthDate>1962-02-12T00:00:00+02:00</BirthDate>
        <FatherName>אברהם</FatherName>
        <LinkedCaseID>0</LinkedCaseID>
        <PartyID>1</PartyID>
        <CasePartyCategoryID>2</CasePartyCategoryID>
        <LegalEntityAddressID>88223860</LegalEntityAddressID>
        <PleaTypeID>6</PleaTypeID>
        <GroupPartyAlias>מערערים</GroupPartyAlias>
        <IsConverted>false</IsConverted>
        <LegalEntityRegisteredNameID>8483454</LegalEntityRegisteredNameID>
        <LegalEntityNameID>95242019</LegalEntityNameID>
        <RepresentatedNamesOfAssistant/>
        <LegalEntityTypeID>1</LegalEntityTypeID>
        <IsVerdictExists>false</IsVerdictExists>
        <IsAsirAzir>false</IsAsirAzir>
        <IsPublicationProhibited>false</IsPublicationProhibited>
        <PublicationProhibitedFullName>יוסף יום טוב</PublicationProhibitedFullName>
      </CaseParties>
      <CaseParties>
        <PartyTypeName>צד</PartyTypeName>
        <ProceedingType>כתב טענות עיקרי</ProceedingType>
        <PleaName>הודעת ערעור</PleaName>
        <PartyBelonging>צד ב'</PartyBelonging>
        <RoleName>משיב 1 - משיב</RoleName>
        <IsSubProceeding>FALSE</IsSubProceeding>
        <FullName>שירי גולדמן</FullName>
        <FirstName>שירי</FirstName>
        <LastName>גולדמן</LastName>
        <PartyPropertyName/>
        <AuthenticationTypeAndNumber>ת"ז </AuthenticationTypeAndNumber>
        <RepresentatedOrRepresentativesNames/>
        <RepresentatedOrRepresentativesCount>0</RepresentatedOrRepresentativesCount>
        <InvitedBy/>
        <CaseID>80506581</CaseID>
        <CaseJudicialPersonPresentationDS>
          <CaseJudicalPersonActive>
            <CaseID>80506581</CaseID>
            <JudicialPersonID>059713420@GOV.IL</JudicialPersonID>
            <JudicialPersonTypeID>1</JudicialPersonTypeID>
            <JudicialTypeID>1</JudicialTypeID>
            <IsChairman>false</IsChairman>
            <TreatmentStartDate>2023-08-11T11:47:10.46+03:00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259350593</CasePartyID>
        <PartyTypeID>1</PartyTypeID>
        <ActivityStatusID>1</ActivityStatusID>
        <PartyAliasID>4</PartyAliasID>
        <PartyAliasName>משיב</PartyAliasName>
        <OrdinalNumber>1</OrdinalNumber>
        <LegalEntityID>81367397</LegalEntityID>
        <CaseLegalEntityID>125515944</CaseLegalEntityID>
        <AuthenticationTypeID>1</AuthenticationTypeID>
        <AuthenticationTypeName>ת"ז</AuthenticationTypeName>
        <IsMainPartyType>true</IsMainPartyType>
        <CaseDisplayIdentifier>23567-08-23</CaseDisplayIdentifier>
        <CaseTypeID>10001</CaseTypeID>
        <CaseTypeName>ערעור אזרחי (ע"א)</CaseTypeName>
        <CaseName>יום טוב נ' גולדמן</CaseName>
        <FullAddress>.</FullAddress>
        <MotionID>0</MotionID>
        <CasePleaID>0</CasePleaID>
        <LinkedCaseID>0</LinkedCaseID>
        <PartyID>2</PartyID>
        <CasePartyCategoryID>2</CasePartyCategoryID>
        <LegalEntityAddressID>88224398</LegalEntityAddressID>
        <PleaTypeID>6</PleaTypeID>
        <GroupPartyAlias>משיבים</GroupPartyAlias>
        <IsConverted>false</IsConverted>
        <LegalEntityNameID>95242020</LegalEntityNameID>
        <RepresentatedNamesOfAssistant/>
        <LegalEntityTypeID>1</LegalEntityTypeID>
        <IsVerdictExists>false</IsVerdictExists>
        <IsAsirAzir>false</IsAsirAzir>
        <IsPublicationProhibited>false</IsPublicationProhibited>
        <PublicationProhibitedFullName>שירי גולדמן</PublicationProhibitedFullName>
      </CaseParties>
    </CasePartiesSelectionDS>
    <CaseName>יום טוב נ' גולדמן</CaseName>
    <CaseDisplayIdentifier>23567-08-23</CaseDisplayIdentifier>
    <CaseInterestID>10435</CaseInterestID>
    <CaseTypeShortName>ע"א</CaseTypeShortName>
  </dt_DecisionCase>
  <dt_DecisionJudgePanel>
    <JudgeID>059713420@GOV.IL</JudgeID>
    <DisplayName>תמר בר-אשר</DisplayName>
    <RoleName>שופט</RoleName>
    <UserTitleName>שופטת</UserTitleName>
  </dt_DecisionJudgePanel>
  <dt_LegalEntityDetails>
    <PartyID>1</PartyID>
    <PartyTypeID>1</PartyTypeID>
    <DecisionID>0</DecisionID>
    <StreetName>יפו 59 </StreetName>
    <CityName>ירושלים</CityName>
    <FullName>יוסף  יום טוב </FullName>
    <IsPublicationProhibited>false</IsPublicationProhibited>
  </dt_LegalEntityDetails>
  <dt_LegalEntityDetails>
    <AddressDesc>.</AddressDesc>
    <PartyID>2</PartyID>
    <PartyTypeID>1</PartyTypeID>
    <DecisionID>0</DecisionID>
    <FullName>שירי  גולדמן </FullName>
    <IsPublicationProhibited>false</IsPublicationProhibited>
  </dt_LegalEntityDetails>
  <dt_CaseJudicalPersonActive>
    <CaseJudicalPerson>שופטת תמר בר-אשר</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28D0B-5D39-4347-8BC5-0394880FA408}">
  <ds:schemaRefs/>
</ds:datastoreItem>
</file>

<file path=customXml/itemProps2.xml><?xml version="1.0" encoding="utf-8"?>
<ds:datastoreItem xmlns:ds="http://schemas.openxmlformats.org/officeDocument/2006/customXml" ds:itemID="{DF234891-CD25-4B9E-BA0B-CAB3B04FD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935</Words>
  <Characters>4676</Characters>
  <Application>Microsoft Office Word</Application>
  <DocSecurity>4</DocSecurity>
  <Lines>38</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2023-08-22T12:38:00Z</dcterms:created>
  <dcterms:modified xsi:type="dcterms:W3CDTF">2023-08-22T12:38:00Z</dcterms:modified>
</cp:coreProperties>
</file>